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Babergh</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Babergh</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Babergh</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Babergh</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Babergh</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5.6%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Babergh are estimated to have a score of 1-2 on the PGSI (low-risk gambling), whilst </w:t>
      </w:r>
      <w:r w:rsidRPr="00773DF7">
        <w:rPr>
          <w:rFonts w:ascii="Libre Franklin Light" w:hAnsi="Libre Franklin Light" w:cs="Calibri Light"/>
          <w:b/>
          <w:bCs/>
          <w:color w:val="C45911" w:themeColor="accent2" w:themeShade="BF"/>
        </w:rPr>
        <w:t xml:space="preserve">2.9%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1.4%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50.0% </w:t>
      </w:r>
      <w:r w:rsidRPr="004747BF">
        <w:rPr>
          <w:rFonts w:ascii="Libre Franklin Light" w:eastAsia="Times New Roman" w:hAnsi="Libre Franklin Light" w:cs="Calibri Light"/>
        </w:rPr>
        <w:t xml:space="preserve">of those respondents classified as PGSI 8+ in Babergh</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Babergh is estimated to be </w:t>
      </w:r>
      <w:r w:rsidRPr="00773DF7">
        <w:rPr>
          <w:rFonts w:ascii="Libre Franklin Light" w:eastAsia="Times New Roman" w:hAnsi="Libre Franklin Light" w:cs="Calibri Light"/>
          <w:b/>
          <w:bCs/>
          <w:color w:val="C45911" w:themeColor="accent2" w:themeShade="BF"/>
        </w:rPr>
        <w:t xml:space="preserve">£999,843</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Babergh</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9.9%</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Babergh</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5.6%</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Babergh</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2.9%</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Babergh</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1.4%</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Babergh.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Babergh</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Babergh.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Babergh</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3.6%</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25.0%</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Babergh</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50.0%</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Babergh.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Babergh</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1.8%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27.6%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Babergh</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Babergh</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42.9%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Babergh</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Babergh</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Babergh</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£999,843</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Babergh</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£16,286</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£336,799</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£24,127</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£6,786</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£12,441</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£603,404</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£999,843</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Babergh</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Babergh</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16.2%</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Babergh</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14.2%</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Babergh</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3.3%</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Babergh</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1.5%</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Babergh</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48.3%</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Babergh</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16.2%</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Babergh</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14.2%</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Babergh</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3.3%</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Babergh</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1.5%</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Babergh</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48.3%</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Babergh</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4629B1AC-E5C2-4B32-9F3F-C2C8794CEAD6}"/>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